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hanging="75"/>
        <w:spacing w:after="0" w:line="240" w:lineRule="auto"/>
        <w:rPr>
          <w:rFonts w:ascii="Arial" w:hAnsi="Arial" w:eastAsia="Calibri" w:cs="Arial"/>
          <w:bCs/>
          <w:iCs/>
          <w:spacing w:val="-2"/>
          <w:sz w:val="24"/>
          <w:szCs w:val="24"/>
        </w:rPr>
      </w:pPr>
      <w:r>
        <w:rPr>
          <w:rFonts w:ascii="Arial" w:hAnsi="Arial" w:eastAsia="Calibri" w:cs="Arial"/>
          <w:bCs/>
          <w:iCs/>
          <w:spacing w:val="-2"/>
          <w:sz w:val="24"/>
          <w:szCs w:val="24"/>
        </w:rPr>
        <w:t xml:space="preserve">Приложение </w:t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  <w:t xml:space="preserve">2</w:t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</w:r>
    </w:p>
    <w:p>
      <w:pPr>
        <w:ind w:left="6236" w:right="0" w:hanging="75"/>
        <w:spacing w:after="0" w:line="240" w:lineRule="auto"/>
        <w:rPr>
          <w:rFonts w:ascii="Arial" w:hAnsi="Arial" w:eastAsia="Calibri" w:cs="Arial"/>
          <w:bCs/>
          <w:iCs/>
          <w:spacing w:val="-2"/>
          <w:sz w:val="24"/>
          <w:szCs w:val="24"/>
        </w:rPr>
      </w:pPr>
      <w:r>
        <w:rPr>
          <w:rFonts w:ascii="Arial" w:hAnsi="Arial" w:eastAsia="Calibri" w:cs="Arial"/>
          <w:bCs/>
          <w:iCs/>
          <w:spacing w:val="-2"/>
          <w:sz w:val="24"/>
          <w:szCs w:val="24"/>
        </w:rPr>
        <w:t xml:space="preserve">к служебной записке </w:t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</w:r>
    </w:p>
    <w:p>
      <w:pPr>
        <w:ind w:left="6236" w:right="0" w:hanging="75"/>
        <w:spacing w:after="0" w:line="240" w:lineRule="auto"/>
        <w:rPr>
          <w:rFonts w:ascii="Arial" w:hAnsi="Arial" w:eastAsia="Calibri" w:cs="Arial"/>
          <w:bCs/>
          <w:iCs/>
          <w:spacing w:val="-2"/>
          <w:sz w:val="24"/>
          <w:szCs w:val="24"/>
        </w:rPr>
      </w:pPr>
      <w:r>
        <w:rPr>
          <w:rFonts w:ascii="Arial" w:hAnsi="Arial" w:eastAsia="Calibri" w:cs="Arial"/>
          <w:bCs/>
          <w:iCs/>
          <w:spacing w:val="-2"/>
          <w:sz w:val="24"/>
          <w:szCs w:val="24"/>
        </w:rPr>
        <w:t xml:space="preserve">ООО «Сургутэнергосбыт»</w:t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</w:r>
    </w:p>
    <w:p>
      <w:pPr>
        <w:ind w:left="6236" w:right="0" w:hanging="75"/>
        <w:spacing w:after="0" w:line="240" w:lineRule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bCs/>
          <w:iCs/>
          <w:spacing w:val="-2"/>
          <w:sz w:val="24"/>
          <w:szCs w:val="24"/>
        </w:rPr>
        <w:t xml:space="preserve">от «__»_______2025</w:t>
      </w:r>
      <w:r>
        <w:rPr>
          <w:rFonts w:ascii="Arial" w:hAnsi="Arial" w:eastAsia="Calibri" w:cs="Arial"/>
          <w:bCs/>
          <w:iCs/>
          <w:spacing w:val="-2"/>
          <w:sz w:val="24"/>
          <w:szCs w:val="24"/>
        </w:rPr>
        <w:t xml:space="preserve"> г. №_____</w:t>
      </w: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eastAsia="Calibri" w:cs="Arial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Style w:val="863"/>
          <w:rFonts w:ascii="Arial" w:hAnsi="Arial" w:cs="Arial"/>
          <w:sz w:val="32"/>
          <w:szCs w:val="20"/>
          <w:shd w:val="clear" w:color="auto" w:fill="ffffff"/>
        </w:rPr>
        <w:outlineLvl w:val="0"/>
      </w:pPr>
      <w:r>
        <w:rPr>
          <w:rFonts w:ascii="Arial" w:hAnsi="Arial" w:cs="Arial"/>
          <w:sz w:val="32"/>
          <w:szCs w:val="20"/>
          <w:shd w:val="clear" w:color="auto" w:fill="ffffff"/>
        </w:rPr>
      </w:r>
      <w:r>
        <w:rPr>
          <w:rStyle w:val="863"/>
          <w:rFonts w:ascii="Arial" w:hAnsi="Arial" w:cs="Arial"/>
          <w:sz w:val="32"/>
          <w:szCs w:val="20"/>
          <w:shd w:val="clear" w:color="auto" w:fill="ffffff"/>
        </w:rPr>
      </w:r>
      <w:r>
        <w:rPr>
          <w:rStyle w:val="863"/>
          <w:rFonts w:ascii="Arial" w:hAnsi="Arial" w:cs="Arial"/>
          <w:sz w:val="32"/>
          <w:szCs w:val="20"/>
          <w:shd w:val="clear" w:color="auto" w:fill="ffffff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2a2a2a"/>
          <w:sz w:val="24"/>
          <w:szCs w:val="24"/>
          <w:lang w:eastAsia="ru-RU"/>
        </w:rPr>
        <w:outlineLvl w:val="0"/>
      </w:pPr>
      <w:r>
        <w:rPr>
          <w:rStyle w:val="863"/>
          <w:rFonts w:ascii="Arial" w:hAnsi="Arial" w:cs="Arial"/>
          <w:sz w:val="24"/>
          <w:szCs w:val="24"/>
          <w:shd w:val="clear" w:color="auto" w:fill="ffffff"/>
        </w:rPr>
        <w:t xml:space="preserve">Информация о деятельности энергосбытовой организации </w:t>
      </w:r>
      <w:r>
        <w:rPr>
          <w:rFonts w:ascii="Arial" w:hAnsi="Arial" w:eastAsia="Times New Roman" w:cs="Arial"/>
          <w:b/>
          <w:bCs/>
          <w:color w:val="2a2a2a"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color w:val="2a2a2a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  <w:outlineLvl w:val="0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</w:r>
      <w:r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</w:r>
      <w:r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uto"/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  <w:outlineLvl w:val="0"/>
      </w:pPr>
      <w:r>
        <w:rPr>
          <w:rStyle w:val="863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подпункт «</w:t>
      </w:r>
      <w:r>
        <w:rPr>
          <w:rStyle w:val="863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в</w:t>
      </w:r>
      <w:r>
        <w:rPr>
          <w:rStyle w:val="863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» пункта </w:t>
      </w:r>
      <w:r>
        <w:rPr>
          <w:rStyle w:val="863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45</w:t>
      </w:r>
      <w:r>
        <w:rPr>
          <w:rStyle w:val="863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 Стандарт</w:t>
      </w:r>
      <w:r>
        <w:rPr>
          <w:rStyle w:val="863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а</w:t>
      </w:r>
      <w:r>
        <w:rPr>
          <w:rStyle w:val="863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раскрытия информации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</w:r>
      <w:r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</w:r>
    </w:p>
    <w:p>
      <w:pPr>
        <w:pStyle w:val="878"/>
        <w:numPr>
          <w:ilvl w:val="0"/>
          <w:numId w:val="3"/>
        </w:numPr>
        <w:ind w:left="992" w:right="0" w:hanging="360"/>
        <w:jc w:val="both"/>
        <w:spacing w:before="150"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о деятельности ООО «Сургутэнергосбыт»: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78"/>
        <w:ind w:left="14" w:firstLine="546"/>
        <w:jc w:val="both"/>
        <w:spacing w:before="150" w:after="150"/>
        <w:rPr>
          <w:rFonts w:ascii="Arial" w:hAnsi="Arial" w:cs="Arial"/>
        </w:rPr>
      </w:pPr>
      <w:r>
        <w:rPr>
          <w:rFonts w:ascii="Arial" w:hAnsi="Arial" w:cs="Arial"/>
        </w:rPr>
        <w:t xml:space="preserve">Общество с ограниченной ответственностью «Сургутская эне</w:t>
      </w:r>
      <w:r>
        <w:rPr>
          <w:rFonts w:ascii="Arial" w:hAnsi="Arial" w:cs="Arial"/>
        </w:rPr>
        <w:t xml:space="preserve">ргосбытовая компания» (ООО «Сургутэнергосбыт») является субъектом оптового рынка электрической энергии (мощности) и внесено в Реестр субъектов оптового рынка 24 сентября 2010 года за регистрационным номером 2.1.0320 (свидетельство № 12/2010 от 29.09.2010).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78"/>
        <w:ind w:left="14" w:firstLine="546"/>
        <w:jc w:val="both"/>
        <w:spacing w:before="150" w:after="150"/>
        <w:rPr>
          <w:rFonts w:ascii="Arial" w:hAnsi="Arial" w:cs="Arial"/>
        </w:rPr>
      </w:pPr>
      <w:r>
        <w:rPr>
          <w:rFonts w:ascii="Arial" w:hAnsi="Arial" w:cs="Arial"/>
        </w:rPr>
        <w:t xml:space="preserve">Виды деятельности, подлежащие лицензированию, ООО «Сургутэнергосбыт» не осуществляет.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78"/>
        <w:ind w:left="14" w:firstLine="553"/>
        <w:jc w:val="both"/>
        <w:spacing w:before="150" w:after="150"/>
        <w:rPr>
          <w:rFonts w:ascii="Arial" w:hAnsi="Arial" w:cs="Arial"/>
        </w:rPr>
      </w:pPr>
      <w:r>
        <w:rPr>
          <w:rFonts w:ascii="Arial" w:hAnsi="Arial" w:cs="Arial"/>
        </w:rPr>
        <w:t xml:space="preserve">Границ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 зоны деятельности ООО «Сургутэнергосбыт» определ</w:t>
      </w:r>
      <w:r>
        <w:rPr>
          <w:rFonts w:ascii="Arial" w:hAnsi="Arial" w:cs="Arial"/>
        </w:rPr>
        <w:t xml:space="preserve">я</w:t>
      </w:r>
      <w:r>
        <w:rPr>
          <w:rFonts w:ascii="Arial" w:hAnsi="Arial" w:cs="Arial"/>
        </w:rPr>
        <w:t xml:space="preserve">ю</w:t>
      </w:r>
      <w:r>
        <w:rPr>
          <w:rFonts w:ascii="Arial" w:hAnsi="Arial" w:cs="Arial"/>
        </w:rPr>
        <w:t xml:space="preserve">тся местонахождением точек поставки, зарегистрированных на оптовом рынке электрической энергии (мощности) в отношении потребителей </w:t>
        <w:br/>
        <w:t xml:space="preserve">ООО «Сургутэнергосбыт».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78"/>
        <w:ind w:left="14" w:firstLine="553"/>
        <w:jc w:val="both"/>
        <w:spacing w:before="150" w:after="150"/>
        <w:rPr>
          <w:rFonts w:ascii="Arial" w:hAnsi="Arial" w:cs="Arial"/>
        </w:rPr>
      </w:pPr>
      <w:r>
        <w:rPr>
          <w:rFonts w:ascii="Arial" w:hAnsi="Arial" w:cs="Arial"/>
        </w:rPr>
        <w:t xml:space="preserve">ООО «Сургутэнергосбыт» граничит с зонами </w:t>
      </w:r>
      <w:r>
        <w:rPr>
          <w:rFonts w:ascii="Arial" w:hAnsi="Arial" w:cs="Arial"/>
        </w:rPr>
        <w:t xml:space="preserve">обслуживания</w:t>
      </w:r>
      <w:r>
        <w:rPr>
          <w:rFonts w:ascii="Arial" w:hAnsi="Arial" w:cs="Arial"/>
        </w:rPr>
        <w:t xml:space="preserve"> следующих </w:t>
      </w:r>
      <w:r>
        <w:rPr>
          <w:rFonts w:ascii="Arial" w:hAnsi="Arial" w:cs="Arial"/>
        </w:rPr>
        <w:t xml:space="preserve">гарантирующих поставщиков: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78"/>
        <w:ind w:left="14" w:firstLine="546"/>
        <w:jc w:val="both"/>
        <w:spacing w:before="150" w:after="15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Акционерное общество «Газпром энергосбыт Тюмень» (</w:t>
      </w:r>
      <w:r>
        <w:rPr>
          <w:rFonts w:ascii="Arial" w:hAnsi="Arial" w:cs="Arial"/>
        </w:rPr>
        <w:t xml:space="preserve">АО «Газпром</w:t>
      </w:r>
      <w:r>
        <w:rPr>
          <w:rFonts w:ascii="Arial" w:hAnsi="Arial" w:cs="Arial"/>
        </w:rPr>
        <w:t xml:space="preserve"> энергосбыт </w:t>
      </w:r>
      <w:r>
        <w:rPr>
          <w:rFonts w:ascii="Arial" w:hAnsi="Arial" w:cs="Arial"/>
        </w:rPr>
        <w:t xml:space="preserve">Тюмен</w:t>
      </w:r>
      <w:r>
        <w:rPr>
          <w:rFonts w:ascii="Arial" w:hAnsi="Arial" w:cs="Arial"/>
        </w:rPr>
        <w:t xml:space="preserve">ь</w:t>
      </w:r>
      <w:r>
        <w:rPr>
          <w:rFonts w:ascii="Arial" w:hAnsi="Arial" w:cs="Arial"/>
        </w:rPr>
        <w:t xml:space="preserve">»</w:t>
      </w:r>
      <w:r>
        <w:rPr>
          <w:rFonts w:ascii="Arial" w:hAnsi="Arial" w:cs="Arial"/>
        </w:rPr>
        <w:t xml:space="preserve">)</w:t>
      </w:r>
      <w:r>
        <w:rPr>
          <w:rFonts w:ascii="Arial" w:hAnsi="Arial" w:cs="Arial"/>
        </w:rPr>
        <w:t xml:space="preserve">. Границ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 зоны деятельности </w:t>
      </w:r>
      <w:r>
        <w:rPr>
          <w:rFonts w:ascii="Arial" w:hAnsi="Arial" w:cs="Arial"/>
        </w:rPr>
        <w:t xml:space="preserve">находятся на территории Ханты-Мансийского автономного округ-Югра, Ямало-Ненецкого автономного округ и юга Тюменской области. Место нахождения: </w:t>
      </w:r>
      <w:r>
        <w:rPr>
          <w:rFonts w:ascii="Arial" w:hAnsi="Arial" w:cs="Arial"/>
        </w:rPr>
        <w:t xml:space="preserve">6284</w:t>
      </w:r>
      <w:r>
        <w:rPr>
          <w:rFonts w:ascii="Arial" w:hAnsi="Arial" w:cs="Arial"/>
        </w:rPr>
        <w:t xml:space="preserve">26</w:t>
      </w:r>
      <w:r>
        <w:rPr>
          <w:rFonts w:ascii="Arial" w:hAnsi="Arial" w:cs="Arial"/>
        </w:rPr>
        <w:t xml:space="preserve">, </w:t>
      </w:r>
      <w:r>
        <w:rPr>
          <w:rFonts w:ascii="Arial" w:hAnsi="Arial" w:cs="Arial"/>
        </w:rPr>
        <w:t xml:space="preserve">Ханты-Мансийский автономный округ - Югра, г</w:t>
      </w:r>
      <w:r>
        <w:rPr>
          <w:rFonts w:ascii="Arial" w:hAnsi="Arial" w:cs="Arial"/>
        </w:rPr>
        <w:t xml:space="preserve">ород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Сургут, проспект Мира, до</w:t>
      </w:r>
      <w:r>
        <w:rPr>
          <w:rFonts w:ascii="Arial" w:hAnsi="Arial" w:cs="Arial"/>
        </w:rPr>
        <w:t xml:space="preserve">м 43, телефон (3462) 77-77-77, </w:t>
      </w:r>
      <w:r>
        <w:rPr>
          <w:rFonts w:ascii="Arial" w:hAnsi="Arial" w:cs="Arial"/>
        </w:rPr>
        <w:t xml:space="preserve">факс: (3462) </w:t>
      </w:r>
      <w:r>
        <w:rPr>
          <w:rFonts w:ascii="Arial" w:hAnsi="Arial" w:cs="Arial"/>
        </w:rPr>
        <w:t xml:space="preserve">93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</w:rPr>
        <w:t xml:space="preserve">57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</w:rPr>
        <w:t xml:space="preserve">05</w:t>
      </w:r>
      <w:r>
        <w:rPr>
          <w:rFonts w:ascii="Arial" w:hAnsi="Arial" w:cs="Arial"/>
        </w:rPr>
        <w:t xml:space="preserve">, электронный адрес </w:t>
      </w:r>
      <w:r>
        <w:rPr>
          <w:rFonts w:ascii="Arial" w:hAnsi="Arial" w:cs="Arial"/>
        </w:rPr>
        <w:t xml:space="preserve">gesbt@energosales.ru.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78"/>
        <w:contextualSpacing/>
        <w:ind w:left="14" w:firstLine="546"/>
        <w:jc w:val="both"/>
        <w:spacing w:before="150" w:after="150"/>
        <w:rPr>
          <w:rFonts w:ascii="Arial" w:hAnsi="Arial" w:cs="Arial"/>
        </w:rPr>
        <w:suppressLineNumbers w:val="0"/>
      </w:pPr>
      <w:r>
        <w:rPr>
          <w:rFonts w:ascii="Arial" w:hAnsi="Arial" w:cs="Arial"/>
        </w:rPr>
        <w:t xml:space="preserve">- </w:t>
      </w:r>
      <w:r>
        <w:rPr>
          <w:rFonts w:ascii="Arial" w:hAnsi="Arial" w:cs="Arial"/>
          <w:spacing w:val="-6"/>
        </w:rPr>
        <w:t xml:space="preserve">Акционерное общество «Энергосбытовая компания «Восток»  </w:t>
        <w:br/>
      </w:r>
      <w:r>
        <w:rPr>
          <w:rFonts w:ascii="Arial" w:hAnsi="Arial" w:cs="Arial"/>
          <w:spacing w:val="-6"/>
        </w:rPr>
        <w:t xml:space="preserve">(АО «ЭК «Восток»)</w:t>
      </w:r>
      <w:r>
        <w:rPr>
          <w:rFonts w:ascii="Arial" w:hAnsi="Arial" w:cs="Arial"/>
        </w:rPr>
        <w:t xml:space="preserve">.  Границ</w:t>
      </w:r>
      <w:r>
        <w:rPr>
          <w:rFonts w:ascii="Arial" w:hAnsi="Arial" w:cs="Arial"/>
        </w:rPr>
        <w:t xml:space="preserve">ы</w:t>
      </w:r>
      <w:r>
        <w:rPr>
          <w:rFonts w:ascii="Arial" w:hAnsi="Arial" w:cs="Arial"/>
        </w:rPr>
        <w:t xml:space="preserve"> зоны деятельности </w:t>
      </w:r>
      <w:r>
        <w:rPr>
          <w:rFonts w:ascii="Arial" w:hAnsi="Arial" w:cs="Arial"/>
        </w:rPr>
        <w:t xml:space="preserve">находятся на территории Курганской области, Тюменской области, Ханты-Мансийского автономного округа – Югры, Ямало-Ненецкого автономного округа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Оренбургской областей.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Место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нахождени</w:t>
      </w:r>
      <w:r>
        <w:rPr>
          <w:rFonts w:ascii="Arial" w:hAnsi="Arial" w:cs="Arial"/>
        </w:rPr>
        <w:t xml:space="preserve">я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119121, </w:t>
        <w:br/>
        <w:t xml:space="preserve">город Москва, улица Бурденко, дом 22</w:t>
      </w:r>
      <w:r>
        <w:rPr>
          <w:rFonts w:ascii="Arial" w:hAnsi="Arial" w:cs="Arial"/>
        </w:rPr>
        <w:t xml:space="preserve">, телефон </w:t>
      </w:r>
      <w:r>
        <w:rPr>
          <w:rFonts w:ascii="Arial" w:hAnsi="Arial" w:cs="Arial"/>
        </w:rPr>
        <w:t xml:space="preserve">приемной 8</w:t>
      </w:r>
      <w:r>
        <w:rPr>
          <w:rFonts w:ascii="Arial" w:hAnsi="Arial" w:cs="Arial"/>
        </w:rPr>
        <w:t xml:space="preserve">(</w:t>
      </w:r>
      <w:r>
        <w:rPr>
          <w:rFonts w:ascii="Arial" w:hAnsi="Arial" w:cs="Arial"/>
        </w:rPr>
        <w:t xml:space="preserve">495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775-24-97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электронный адрес</w:t>
      </w:r>
      <w:r>
        <w:rPr>
          <w:rFonts w:ascii="Arial" w:hAnsi="Arial" w:cs="Arial"/>
        </w:rPr>
        <w:t xml:space="preserve"> </w:t>
      </w:r>
      <w:hyperlink r:id="rId13" w:tooltip="mailto:info@vostok-electra.ru" w:history="1">
        <w:r>
          <w:rPr>
            <w:rStyle w:val="865"/>
            <w:rFonts w:ascii="Arial" w:hAnsi="Arial" w:cs="Arial"/>
            <w:color w:val="auto"/>
            <w:u w:val="none"/>
            <w:lang w:val="en-US"/>
          </w:rPr>
          <w:t xml:space="preserve">info</w:t>
        </w:r>
        <w:r>
          <w:rPr>
            <w:rStyle w:val="865"/>
            <w:rFonts w:ascii="Arial" w:hAnsi="Arial" w:cs="Arial"/>
            <w:color w:val="auto"/>
            <w:u w:val="none"/>
          </w:rPr>
          <w:t xml:space="preserve">@vostok-electra.ru</w:t>
        </w:r>
      </w:hyperlink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78"/>
        <w:ind w:left="14" w:firstLine="546"/>
        <w:jc w:val="both"/>
        <w:spacing w:before="150" w:after="150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- </w:t>
      </w:r>
      <w:r>
        <w:rPr>
          <w:rFonts w:ascii="Arial" w:hAnsi="Arial" w:cs="Arial"/>
        </w:rPr>
        <w:t xml:space="preserve">Акционерное общество </w:t>
      </w:r>
      <w:bookmarkStart w:id="0" w:name="_Hlk71713975"/>
      <w:r>
        <w:rPr>
          <w:rFonts w:ascii="Arial" w:hAnsi="Arial" w:cs="Arial"/>
        </w:rPr>
        <w:t xml:space="preserve">«Петербургская сбытовая компания»</w:t>
      </w:r>
      <w:bookmarkEnd w:id="0"/>
      <w:r>
        <w:rPr>
          <w:rFonts w:ascii="Arial" w:hAnsi="Arial" w:cs="Arial"/>
        </w:rPr>
        <w:t xml:space="preserve"> </w:t>
        <w:br/>
        <w:t xml:space="preserve">(АО «Петербургская сбытовая компания»). Границы зоны деятельности находятся на территории </w:t>
      </w:r>
      <w:r>
        <w:rPr>
          <w:rFonts w:ascii="Arial" w:hAnsi="Arial" w:cs="Arial"/>
        </w:rPr>
        <w:t xml:space="preserve">Санкт-Петербурга и Ленинградской области.</w:t>
      </w:r>
      <w:r>
        <w:rPr>
          <w:rFonts w:ascii="Arial" w:hAnsi="Arial" w:cs="Arial"/>
          <w:color w:val="767676"/>
          <w:shd w:val="clear" w:color="auto" w:fill="ffffff"/>
        </w:rPr>
        <w:t xml:space="preserve"> </w:t>
      </w:r>
      <w:r>
        <w:rPr>
          <w:rFonts w:ascii="Arial" w:hAnsi="Arial" w:cs="Arial"/>
        </w:rPr>
        <w:t xml:space="preserve">Место нахождения: 195009, Санкт-Петербург, </w:t>
      </w:r>
      <w:r>
        <w:rPr>
          <w:rFonts w:ascii="Arial" w:hAnsi="Arial" w:cs="Arial"/>
        </w:rPr>
        <w:t xml:space="preserve">Калининский район, ул. Михайлова, дом 11, тел.: (812) 303-69-69, Факс: (812) 327-07-03, office@</w:t>
      </w:r>
      <w:r>
        <w:rPr>
          <w:rFonts w:ascii="Arial" w:hAnsi="Arial" w:cs="Arial"/>
        </w:rPr>
        <w:t xml:space="preserve">pesc.ru, </w:t>
      </w:r>
      <w:bookmarkStart w:id="1" w:name="_Hlk166510164"/>
      <w:r>
        <w:rPr>
          <w:rFonts w:ascii="Arial" w:hAnsi="Arial" w:cs="Arial"/>
        </w:rPr>
        <w:t xml:space="preserve">www.</w:t>
      </w:r>
      <w:bookmarkEnd w:id="1"/>
      <w:r>
        <w:rPr>
          <w:rFonts w:ascii="Arial" w:hAnsi="Arial" w:cs="Arial"/>
        </w:rPr>
        <w:t xml:space="preserve">pesc.ru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p>
      <w:pPr>
        <w:pStyle w:val="878"/>
        <w:ind w:left="14" w:firstLine="546"/>
        <w:jc w:val="both"/>
        <w:spacing w:before="150" w:after="15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highlight w:val="none"/>
        </w:rPr>
        <w:t xml:space="preserve">- Публичное акционерное общество «Дальневосточная энергетическая компания» (ПАО «ДЭК»). </w:t>
      </w:r>
      <w:r>
        <w:rPr>
          <w:rFonts w:ascii="Arial" w:hAnsi="Arial" w:cs="Arial"/>
        </w:rPr>
        <w:t xml:space="preserve">Границы зоны деятельности находятся на территориях Приморского края, Хабаровского края, Амурской области, Еврейской автономной области, Сахалинской области, Нерюнгринского района Республики Саха (Якутия), Камчатского края, Республики Саха (Якутия). Место нахождения: 690090, Приморский край, г. Владивосток, ул. Тигровая, 19, тел.:(423) 240 68 45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 </w:t>
      </w:r>
      <w:hyperlink r:id="rId14" w:tooltip="mailto:priemn@dvec.ru." w:history="1">
        <w:r>
          <w:rPr>
            <w:rStyle w:val="865"/>
            <w:rFonts w:ascii="Arial" w:hAnsi="Arial" w:eastAsia="Arial" w:cs="Arial"/>
            <w:color w:val="000000" w:themeColor="text1"/>
            <w:sz w:val="24"/>
            <w:szCs w:val="24"/>
          </w:rPr>
          <w:t xml:space="preserve">priemn@dvec.ru</w:t>
        </w:r>
        <w:r>
          <w:rPr>
            <w:rStyle w:val="865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,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www.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dvec.ru.</w:t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78"/>
        <w:ind w:left="14" w:firstLine="546"/>
        <w:jc w:val="both"/>
        <w:spacing w:before="150" w:after="15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78"/>
        <w:ind w:left="14" w:right="0" w:firstLine="567"/>
        <w:jc w:val="both"/>
        <w:spacing w:before="150" w:after="150"/>
        <w:rPr>
          <w:rFonts w:ascii="Arial" w:hAnsi="Arial" w:eastAsia="Times New Roman" w:cs="Arial"/>
          <w:b/>
          <w:bCs/>
          <w:sz w:val="24"/>
          <w:szCs w:val="24"/>
          <w:highlight w:val="none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2.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   Реквизиты ООО «Сургутэнергосбыт»:</w:t>
      </w:r>
      <w:r>
        <w:rPr>
          <w:rFonts w:ascii="Arial" w:hAnsi="Arial" w:cs="Arial"/>
          <w:color w:val="000000" w:themeColor="text1"/>
          <w:sz w:val="24"/>
          <w:szCs w:val="24"/>
        </w:rPr>
      </w:r>
      <w:r/>
    </w:p>
    <w:p>
      <w:pPr>
        <w:ind w:left="56" w:right="0" w:firstLine="510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Место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нахождени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я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: 628416, Ханты-Мансийский автономный округ - Югра, город Сургут, улица Григория Кукуевицкого, дом 5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145" w:right="-1133" w:firstLine="600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Почтовый адрес: 628416, Ханты-Мансийский автономный округ - Югра, город Сургут, улица Григория Кукуевицкого, дом 5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Адрес электронной почты: info@surgutenergosbyt.ru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Телефон: (3462) 42-59-78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Факс: (3462) 42-59-88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ОГРН 1098602003510 от 04.05.2009 г.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ИНН 8602153048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КПП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785150001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Расчетный счет 40702810700000106659 в АО БАНК «СНГБ» г. Сургут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Кор. счет 30101810600000000709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700" w:right="0" w:firstLine="1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БИК 047144709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134" w:right="0" w:firstLine="0"/>
        <w:jc w:val="both"/>
        <w:spacing w:after="0" w:line="240" w:lineRule="auto"/>
        <w:tabs>
          <w:tab w:val="left" w:pos="924" w:leader="none"/>
        </w:tabs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ind w:left="1134" w:right="-1031" w:firstLine="567"/>
        <w:jc w:val="both"/>
        <w:spacing w:after="0" w:line="240" w:lineRule="auto"/>
        <w:tabs>
          <w:tab w:val="left" w:pos="924" w:leader="none"/>
          <w:tab w:val="left" w:pos="2126" w:leader="none"/>
        </w:tabs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3. </w:t>
      </w:r>
      <w:bookmarkStart w:id="2" w:name="_GoBack"/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Изменения основных условий договора энергоснабжения, договора купли-продажи (поставки) электрической энергии и условий обслуживания: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ind w:left="1130" w:right="-1106" w:firstLine="555"/>
        <w:jc w:val="both"/>
        <w:spacing w:after="0" w:line="240" w:lineRule="auto"/>
        <w:tabs>
          <w:tab w:val="left" w:pos="924" w:leader="none"/>
        </w:tabs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Публикуются ООО «Сургутэнергосбыт» не позднее одного месяца до вступления в силу на официальном сайте в разделе: Основные условия договора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(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купли-продажи электрической энергии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)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left="1130" w:right="0" w:firstLine="4"/>
        <w:jc w:val="both"/>
        <w:spacing w:after="0" w:line="240" w:lineRule="auto"/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  <w:outlineLvl w:val="0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</w:r>
      <w:bookmarkEnd w:id="2"/>
      <w:r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</w:r>
      <w:r>
        <w:rPr>
          <w:rStyle w:val="863"/>
          <w:rFonts w:ascii="Arial" w:hAnsi="Arial" w:cs="Arial"/>
          <w:color w:val="000000"/>
          <w:sz w:val="24"/>
          <w:szCs w:val="24"/>
          <w:shd w:val="clear" w:color="auto" w:fill="ffffff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255097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 xml:space="preserve"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</w:r>
        <w:r>
          <w:rPr>
            <w:rFonts w:ascii="Arial" w:hAnsi="Arial" w:cs="Arial"/>
            <w:sz w:val="20"/>
            <w:szCs w:val="20"/>
          </w:rPr>
        </w:r>
      </w:p>
    </w:sdtContent>
  </w:sdt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58"/>
    <w:link w:val="856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58"/>
    <w:link w:val="857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8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8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8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8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8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5"/>
    <w:next w:val="855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8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5"/>
    <w:next w:val="855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8"/>
    <w:link w:val="703"/>
    <w:uiPriority w:val="10"/>
    <w:rPr>
      <w:sz w:val="48"/>
      <w:szCs w:val="48"/>
    </w:rPr>
  </w:style>
  <w:style w:type="paragraph" w:styleId="705">
    <w:name w:val="Subtitle"/>
    <w:basedOn w:val="855"/>
    <w:next w:val="855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8"/>
    <w:link w:val="705"/>
    <w:uiPriority w:val="11"/>
    <w:rPr>
      <w:sz w:val="24"/>
      <w:szCs w:val="24"/>
    </w:rPr>
  </w:style>
  <w:style w:type="paragraph" w:styleId="707">
    <w:name w:val="Quote"/>
    <w:basedOn w:val="855"/>
    <w:next w:val="855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5"/>
    <w:next w:val="855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8"/>
    <w:link w:val="869"/>
    <w:uiPriority w:val="99"/>
  </w:style>
  <w:style w:type="character" w:styleId="712">
    <w:name w:val="Footer Char"/>
    <w:basedOn w:val="858"/>
    <w:link w:val="871"/>
    <w:uiPriority w:val="99"/>
  </w:style>
  <w:style w:type="paragraph" w:styleId="713">
    <w:name w:val="Caption"/>
    <w:basedOn w:val="855"/>
    <w:next w:val="855"/>
    <w:link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858"/>
    <w:link w:val="713"/>
    <w:uiPriority w:val="35"/>
    <w:rPr>
      <w:b/>
      <w:bCs/>
      <w:color w:val="4f81bd" w:themeColor="accent1"/>
      <w:sz w:val="18"/>
      <w:szCs w:val="18"/>
    </w:r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Footnote Text Char"/>
    <w:link w:val="879"/>
    <w:uiPriority w:val="99"/>
    <w:rPr>
      <w:sz w:val="18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8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link w:val="86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7">
    <w:name w:val="Heading 2"/>
    <w:basedOn w:val="855"/>
    <w:link w:val="86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basedOn w:val="858"/>
    <w:link w:val="85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62" w:customStyle="1">
    <w:name w:val="Заголовок 2 Знак"/>
    <w:basedOn w:val="858"/>
    <w:link w:val="857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3">
    <w:name w:val="Strong"/>
    <w:basedOn w:val="858"/>
    <w:uiPriority w:val="22"/>
    <w:qFormat/>
    <w:rPr>
      <w:b/>
      <w:bCs/>
    </w:rPr>
  </w:style>
  <w:style w:type="paragraph" w:styleId="864">
    <w:name w:val="Normal (Web)"/>
    <w:basedOn w:val="8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>
    <w:name w:val="Hyperlink"/>
    <w:basedOn w:val="858"/>
    <w:uiPriority w:val="99"/>
    <w:unhideWhenUsed/>
    <w:rPr>
      <w:color w:val="0000ff"/>
      <w:u w:val="single"/>
    </w:rPr>
  </w:style>
  <w:style w:type="paragraph" w:styleId="866" w:customStyle="1">
    <w:name w:val="s_1"/>
    <w:basedOn w:val="8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empty"/>
    <w:basedOn w:val="8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8">
    <w:name w:val="Table Grid"/>
    <w:basedOn w:val="8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Header"/>
    <w:basedOn w:val="855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58"/>
    <w:link w:val="869"/>
    <w:uiPriority w:val="99"/>
  </w:style>
  <w:style w:type="paragraph" w:styleId="871">
    <w:name w:val="Footer"/>
    <w:basedOn w:val="855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58"/>
    <w:link w:val="871"/>
    <w:uiPriority w:val="99"/>
  </w:style>
  <w:style w:type="paragraph" w:styleId="873">
    <w:name w:val="Balloon Text"/>
    <w:basedOn w:val="855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58"/>
    <w:link w:val="873"/>
    <w:uiPriority w:val="99"/>
    <w:semiHidden/>
    <w:rPr>
      <w:rFonts w:ascii="Tahoma" w:hAnsi="Tahoma" w:cs="Tahoma"/>
      <w:sz w:val="16"/>
      <w:szCs w:val="16"/>
    </w:rPr>
  </w:style>
  <w:style w:type="character" w:styleId="875">
    <w:name w:val="annotation reference"/>
    <w:basedOn w:val="858"/>
    <w:rPr>
      <w:sz w:val="16"/>
      <w:szCs w:val="16"/>
    </w:rPr>
  </w:style>
  <w:style w:type="paragraph" w:styleId="876">
    <w:name w:val="annotation text"/>
    <w:basedOn w:val="855"/>
    <w:link w:val="87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7" w:customStyle="1">
    <w:name w:val="Текст примечания Знак"/>
    <w:basedOn w:val="858"/>
    <w:link w:val="87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8">
    <w:name w:val="List Paragraph"/>
    <w:basedOn w:val="85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footnote text"/>
    <w:basedOn w:val="855"/>
    <w:link w:val="88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0" w:customStyle="1">
    <w:name w:val="Текст сноски Знак"/>
    <w:basedOn w:val="858"/>
    <w:link w:val="87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1">
    <w:name w:val="footnote reference"/>
    <w:basedOn w:val="858"/>
    <w:rPr>
      <w:vertAlign w:val="superscript"/>
    </w:rPr>
  </w:style>
  <w:style w:type="paragraph" w:styleId="882">
    <w:name w:val="Body Text 3"/>
    <w:basedOn w:val="855"/>
    <w:link w:val="883"/>
    <w:pPr>
      <w:jc w:val="both"/>
      <w:spacing w:after="0" w:line="240" w:lineRule="auto"/>
    </w:pPr>
    <w:rPr>
      <w:rFonts w:ascii="Tahoma" w:hAnsi="Tahoma" w:eastAsia="Times New Roman" w:cs="Tahoma"/>
      <w:strike/>
      <w:lang w:eastAsia="ru-RU"/>
    </w:rPr>
  </w:style>
  <w:style w:type="character" w:styleId="883" w:customStyle="1">
    <w:name w:val="Основной текст 3 Знак"/>
    <w:basedOn w:val="858"/>
    <w:link w:val="882"/>
    <w:rPr>
      <w:rFonts w:ascii="Tahoma" w:hAnsi="Tahoma" w:eastAsia="Times New Roman" w:cs="Tahoma"/>
      <w:strike/>
      <w:lang w:eastAsia="ru-RU"/>
    </w:rPr>
  </w:style>
  <w:style w:type="paragraph" w:styleId="884">
    <w:name w:val="Body Text Indent 2"/>
    <w:basedOn w:val="855"/>
    <w:link w:val="885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5" w:customStyle="1">
    <w:name w:val="Основной текст с отступом 2 Знак"/>
    <w:basedOn w:val="858"/>
    <w:link w:val="88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Обычный1"/>
    <w:pPr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87">
    <w:name w:val="Block Text"/>
    <w:basedOn w:val="855"/>
    <w:pPr>
      <w:ind w:left="284" w:right="709" w:firstLine="720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 w:customStyle="1">
    <w:name w:val="apple-converted-space"/>
    <w:basedOn w:val="858"/>
  </w:style>
  <w:style w:type="character" w:styleId="889">
    <w:name w:val="Unresolved Mention"/>
    <w:basedOn w:val="85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mailto:info@vostok-electra.ru" TargetMode="External"/><Relationship Id="rId14" Type="http://schemas.openxmlformats.org/officeDocument/2006/relationships/hyperlink" Target="mailto:priemn@dvec.ru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B40EB9EF4F574F99C7D992AB7B457F" ma:contentTypeVersion="7" ma:contentTypeDescription="Создание документа." ma:contentTypeScope="" ma:versionID="bfce6a2aad9b4b178b1659f04f1b30f6">
  <xsd:schema xmlns:xsd="http://www.w3.org/2001/XMLSchema" xmlns:xs="http://www.w3.org/2001/XMLSchema" xmlns:p="http://schemas.microsoft.com/office/2006/metadata/properties" xmlns:ns2="2aa94104-03de-40c4-a448-1d8414595314" targetNamespace="http://schemas.microsoft.com/office/2006/metadata/properties" ma:root="true" ma:fieldsID="baa0d39ab95bc35a09e267d63fd5606e" ns2:_="">
    <xsd:import namespace="2aa94104-03de-40c4-a448-1d8414595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4104-03de-40c4-a448-1d8414595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88B6B-92D1-4F5B-8FBD-0F8475C6B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515FE-2C99-4AA1-B4C6-1EF6B9B35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94104-03de-40c4-a448-1d8414595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B2F4D-E0D6-4C67-AE2A-364A89A3C54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2aa94104-03de-40c4-a448-1d84145953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Александр Сергеевич</dc:creator>
  <cp:revision>19</cp:revision>
  <dcterms:created xsi:type="dcterms:W3CDTF">2022-05-12T07:05:00Z</dcterms:created>
  <dcterms:modified xsi:type="dcterms:W3CDTF">2025-05-13T07:26:12Z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0x01010079B40EB9EF4F574F99C7D992AB7B457F</vt:lpwstr>
  </property>
</Properties>
</file>